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Title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ПОРЯДОК</w:t>
      </w:r>
    </w:p>
    <w:p w:rsidR="0071522C" w:rsidRPr="0071522C" w:rsidRDefault="0071522C" w:rsidP="0071522C">
      <w:pPr>
        <w:pStyle w:val="ConsPlusTitle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71522C" w:rsidRPr="0071522C" w:rsidRDefault="0071522C" w:rsidP="0071522C">
      <w:pPr>
        <w:pStyle w:val="ConsPlusTitle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муниципальных образований Ивановской области на укрепление</w:t>
      </w:r>
    </w:p>
    <w:p w:rsidR="0071522C" w:rsidRPr="0071522C" w:rsidRDefault="0071522C" w:rsidP="0071522C">
      <w:pPr>
        <w:pStyle w:val="ConsPlusTitle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материально-технической базы муниципальных</w:t>
      </w:r>
    </w:p>
    <w:p w:rsidR="0071522C" w:rsidRPr="0071522C" w:rsidRDefault="0071522C" w:rsidP="0071522C">
      <w:pPr>
        <w:pStyle w:val="ConsPlusTitle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учреждений культуры Ивановской области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1. Настоящий Порядок устанавливает порядок предоставления и распределения субсидий из областного бюджета бюджетам муниципальных образований Ивановской области на укрепление материально-технической базы муниципальных учреждений культуры Ивановской области (далее - субсидии).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"/>
      <w:bookmarkEnd w:id="0"/>
      <w:r w:rsidRPr="0071522C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образований Ивановской области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Ивановской области, возникающих при исполнении органами местного самоуправления муниципальных образований Ивановской области полномочий в сфере культуры, в части укрепления материально-технической базы муниципальных учреждений культуры Ивановской области, включая выполнение ремонтных работ, модернизацию материально-технической базы и разработку проектно-сметной документации на проведение ремонтных работ учреждений.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3. Критериями отбора муниципальных образований Ивановской области для предоставления субсидий являются: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а) для выполнения ремонтных работ: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актуальность (значимость) решения социально-экономической проблемы, заявленной муниципальным образованием Ивановской области, в муниципальных учреждениях культуры Ивановской области;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наличие проектно-сметной документации и положительного заключения государственной экспертизы на выполнение работ по ремонту зданий муниципальных учреждений культуры Ивановской области;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б) для модернизации материально-технической базы: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актуальность (значимость) решения социально-экономической проблемы, заявленной муниципальным образованием Ивановской области, в муниципальных учреждениях культуры Ивановской области;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наличие муниципальных программ, предусматривающих проведение мероприятий по модернизации материально-технической базы учреждений;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в) для разработки проектно-сметной документации: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актуальность (значимость) решения социально-экономической проблемы, заявленной муниципальным образованием Ивановской области, в муниципальных учреждениях культуры Ивановской области;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наличие акта технического заключения о состоянии зданий и сооружений.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4. Отбор муниципальных образований Ивановской области для предоставления субсидий осуществляет рабочая группа Департамента культуры и туризма Ивановской области в порядке, сроки и в соответствии с </w:t>
      </w:r>
      <w:r w:rsidRPr="0071522C">
        <w:rPr>
          <w:rFonts w:ascii="Times New Roman" w:hAnsi="Times New Roman" w:cs="Times New Roman"/>
          <w:sz w:val="28"/>
          <w:szCs w:val="28"/>
        </w:rPr>
        <w:lastRenderedPageBreak/>
        <w:t>документами, установленными приказом Департамента культуры и туризма Ивановской области, по отдельным критериям в диапазонах оценки, приведенных в нижеследующих таблицах.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Таблица 1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Критерии оценки муниципальных образований Ивановской области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для предоставления субсидии в части выполнения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ремонтных работ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38"/>
        <w:gridCol w:w="4365"/>
      </w:tblGrid>
      <w:tr w:rsidR="0071522C" w:rsidRPr="0071522C" w:rsidT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Диапазон оценки в баллах</w:t>
            </w:r>
          </w:p>
        </w:tc>
      </w:tr>
      <w:tr w:rsidR="0071522C" w:rsidRPr="0071522C" w:rsidT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Актуальность (значимость) решения социально-экономической проблемы, заявленной муниципальным образованием Ивановской области, в муниципальных учреждениях культуры Ивановской области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0 - социально-экономическая проблема незначима;</w:t>
            </w:r>
          </w:p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от 1 до 5 - социально-экономическая проблема решается;</w:t>
            </w:r>
          </w:p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от 5 до 10 - решение социально-экономической проблемы имеет первостепенное значение</w:t>
            </w:r>
          </w:p>
        </w:tc>
      </w:tr>
      <w:tr w:rsidR="0071522C" w:rsidRPr="0071522C" w:rsidT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Наличие проектно-сметной документации и положительного заключения государственной экспертизы на выполнение работ по ремонту зданий муниципальных учреждений культуры Ивановской области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0 - отсутствие проектно-сметной документации и положительного заключения государственной экспертизы;</w:t>
            </w:r>
          </w:p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10 - наличие утвержденной проектно-сметной документации и положительного заключения государственной экспертизы</w:t>
            </w:r>
          </w:p>
        </w:tc>
      </w:tr>
    </w:tbl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Таблица 2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Критерии оценки муниципальных образований Ивановской области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для предоставления субсидии в части модернизации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материально-технической базы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38"/>
        <w:gridCol w:w="4365"/>
      </w:tblGrid>
      <w:tr w:rsidR="0071522C" w:rsidRP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Диапазон оценки в баллах</w:t>
            </w:r>
          </w:p>
        </w:tc>
      </w:tr>
      <w:tr w:rsidR="0071522C" w:rsidRP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Актуальность (значимость) решения социально-</w:t>
            </w:r>
            <w:r w:rsidRPr="00715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экономической проблемы, заявленной муниципальным образованием Ивановской области, в муниципальных учреждениях культуры Ивановской области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0 - социально-экономическая проблема незначима;</w:t>
            </w:r>
          </w:p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10 - решение социально-экономической проблемы имеет первостепенное значение</w:t>
            </w:r>
          </w:p>
        </w:tc>
      </w:tr>
      <w:tr w:rsidR="0071522C" w:rsidRP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Наличие муниципальных программ, предусматривающих проведение мероприятий по модернизации материально-технической базы учреждений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0 - отсутствие муниципальной программы, предусматривающей проведение мероприятий по модернизации материально-технической базы учреждений;</w:t>
            </w:r>
          </w:p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10 - наличие муниципальной программы, предусматривающей проведение мероприятий по модернизации материально-технической базы учреждений</w:t>
            </w:r>
          </w:p>
        </w:tc>
      </w:tr>
    </w:tbl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Таблица 3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Критерии оценки муниципальных образований Ивановской области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для предоставления субсидии в части разработки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проектно-сметной документации на проведение ремонтных работ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38"/>
        <w:gridCol w:w="4365"/>
      </w:tblGrid>
      <w:tr w:rsidR="0071522C" w:rsidRP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Диапазон оценки в баллах</w:t>
            </w:r>
          </w:p>
        </w:tc>
      </w:tr>
      <w:tr w:rsidR="0071522C" w:rsidRP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Актуальность (значимость) решения социально-экономической проблемы, заявленной муниципальным образованием Ивановской области, в муниципальных учреждениях культуры Ивановской области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0 - социально-экономическая проблема незначима;</w:t>
            </w:r>
          </w:p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10 - решение социально-экономической проблемы имеет первостепенное значение</w:t>
            </w:r>
          </w:p>
        </w:tc>
      </w:tr>
      <w:tr w:rsidR="0071522C" w:rsidRPr="0071522C">
        <w:tc>
          <w:tcPr>
            <w:tcW w:w="566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138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Наличие акта технического заключения о состоянии зданий и сооружений</w:t>
            </w:r>
          </w:p>
        </w:tc>
        <w:tc>
          <w:tcPr>
            <w:tcW w:w="4365" w:type="dxa"/>
          </w:tcPr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0 - отсутствие акта технического заключения о состоянии зданий и сооружений;</w:t>
            </w:r>
          </w:p>
          <w:p w:rsidR="0071522C" w:rsidRPr="0071522C" w:rsidRDefault="0071522C" w:rsidP="0071522C">
            <w:pPr>
              <w:pStyle w:val="ConsPlusNormal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22C">
              <w:rPr>
                <w:rFonts w:ascii="Times New Roman" w:hAnsi="Times New Roman" w:cs="Times New Roman"/>
                <w:sz w:val="28"/>
                <w:szCs w:val="28"/>
              </w:rPr>
              <w:t>10 - наличие акта технического заключения о состоянии зданий и сооружений</w:t>
            </w:r>
          </w:p>
        </w:tc>
      </w:tr>
    </w:tbl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lastRenderedPageBreak/>
        <w:t xml:space="preserve">5. Рабочая группа определяет результаты отбора муниципальных образований Ивановской области путем суммирования баллов, полученных по каждому критерию, проводит по результатам отбора в порядке убывания баллов ранжирование представленных документов и формирует на основе проведенного ранжирования перечень муниципальных образований Ивановской области на получение субсидии. Объем субсидии определяется Департаментом культуры и туризма Ивановской области исходя из утвержденной сметной стоимости проведения ремонтных работ, модернизации материально-технической базы муниципальных учреждений культуры Ивановской области, разработки проектно-сметной документации для проведения ремонтных работ и объема бюджетных ассигнований, заявленных муниципальным образованием Ивановской области на реализацию мероприятий,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субсидии.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предусмотренных законом Ивановской области об областном бюджете на соответствующий финансовый год и на плановый период, и лимитов бюджетных обязательств, утвержденных Департаменту культуры и туризма Ивановской области на цели, указанные в </w:t>
      </w:r>
      <w:hyperlink w:anchor="P13">
        <w:r w:rsidRPr="0071522C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6. Результаты отбора муниципальных образований Ивановской области на получение субсидий оформляются протоколом. Протокол подписывается всеми присутствующими на заседании членами рабочей группы Департамента культуры и туризма Ивановской области.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7. Распределение субсидий бюджетам муниципальных образований Ивановской области осуществляется Департаментом культуры и туризма Ивановской области в соответствии с результатами отбора и утверждается постановлением Правительства Ивановской области.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8. Условиями предоставления субсидии являются: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а) наличие муниципальных правовых актов, утверждающих перечень мероприятий,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и сроки их реализации;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б) 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 Доля расходов областного бюджета в финансовом обеспечении соответствующих расходных обязательств не должна превышать 95%, а для высокодотационных муниципальных образований, муниципальных образований Ивановской области, в бюджетах которых доля налоговых доходов в течение двух из трех </w:t>
      </w:r>
      <w:r w:rsidRPr="0071522C">
        <w:rPr>
          <w:rFonts w:ascii="Times New Roman" w:hAnsi="Times New Roman" w:cs="Times New Roman"/>
          <w:sz w:val="28"/>
          <w:szCs w:val="28"/>
        </w:rPr>
        <w:lastRenderedPageBreak/>
        <w:t>последних отчетных финансовых лет не превышала 10% доходов местных бюджетов, - 99%.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исходя из необходимости достижения установленных соглашением о предоставлении субсидии значений результатов использования субсидии;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в соответствии с </w:t>
      </w:r>
      <w:hyperlink w:anchor="P98">
        <w:r w:rsidRPr="0071522C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г) осуществление полномочий по определению поставщиков (подрядчиков, исполнителей) Департаментом конкурсов и аукционов Ивановской области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конкурсов, аукционов и запроса предложений в соответствии с Федеральным </w:t>
      </w:r>
      <w:hyperlink r:id="rId4">
        <w:r w:rsidRPr="007152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д) наличие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9. Оценка эффективности использования субсидии осуществляется Департаментом культуры и туризма Ивановской области на основании сравнения планируемых и достигнутых значений результатов использования субсидии - количество муниципальных учреждений культуры Ивановской области, осуществивших мероприятия по укреплению материально-технической базы.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71522C">
        <w:rPr>
          <w:rFonts w:ascii="Times New Roman" w:hAnsi="Times New Roman" w:cs="Times New Roman"/>
          <w:sz w:val="28"/>
          <w:szCs w:val="28"/>
        </w:rPr>
        <w:t>10. Субсидии предоставляются на основании соглашения, заключаемого между Департаментом культуры и туризма Ивановской области и органом местного самоуправления муниципального образования Ивановской области (далее - Соглашение).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Соглашение должно содержать следующие положения: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а) размер предоставляемой субсидии, порядок, условия, сроки (при наличии - график) ее перечисления бюджету муниципального образования Ивановской области, а также объем бюджетных ассигнований бюджета </w:t>
      </w:r>
      <w:r w:rsidRPr="0071522C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Ивановской области на исполнение соответствующих расходных обязательств;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б) значение результатов использования субсидии и обязательства муниципального образования Ивановской области по их достижению;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в) обязательства муниципального образования Ивановской области по согласованию с Департаментом культуры и туризма Ивановской области муниципальных программ,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бюджета, и внесения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предоставляется данная субсидия;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г) реквизиты муниципального правового акта, устанавливающего расходное обязательство,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д) сроки и порядок представления отчетности об осуществлении расходов местных бюджетов,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е) обязательства муниципального образования Ивановской области по возврату средств в областной бюджет в соответствии с </w:t>
      </w:r>
      <w:hyperlink r:id="rId5">
        <w:r w:rsidRPr="0071522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№ 65-п (далее - Правила);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ж) порядок осуществления контроля за выполнением муниципальным образованием Ивановской области обязательств, предусмотренных Соглашением;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з) ответственность за нарушение условий Соглашения;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и) условие о вступлении в силу Соглашения;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к) уровень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, выраженный в процентах от объема бюджетных ассигнований на исполнение расходного обязательства муниципального образования Ивановской области, предусмотренных в бюджете муниципального образования Ивановской области,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установленный с учетом </w:t>
      </w:r>
      <w:hyperlink r:id="rId6">
        <w:r w:rsidRPr="0071522C">
          <w:rPr>
            <w:rFonts w:ascii="Times New Roman" w:hAnsi="Times New Roman" w:cs="Times New Roman"/>
            <w:sz w:val="28"/>
            <w:szCs w:val="28"/>
          </w:rPr>
          <w:t>подпункта «б» пункта 5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л) обязательство об установлении в договоре (муниципальном контракте) о выполнении работ по строительству, реконструкции и капитальному ремонту объектов капитального строительства муниципальной собственности, в целях </w:t>
      </w:r>
      <w:proofErr w:type="spellStart"/>
      <w:r w:rsidRPr="0071522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1522C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авансовых платежей в размере, не превышающем 30 процентов суммы соответствующего договора (муниципального контракта), если иное не предусмотрено нормативными правовыми актами Правительства Российской </w:t>
      </w:r>
      <w:r w:rsidRPr="0071522C">
        <w:rPr>
          <w:rFonts w:ascii="Times New Roman" w:hAnsi="Times New Roman" w:cs="Times New Roman"/>
          <w:sz w:val="28"/>
          <w:szCs w:val="28"/>
        </w:rPr>
        <w:lastRenderedPageBreak/>
        <w:t>Федерации (за исключением нормативных правовых актов Правительства Российской Федерации, устанавливающих правила предоставления субсидий), но не более лимитов бюджетных обязательств на соответствующий финансовый год, доведенных до получателя средств местного бюджета.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11. Перечисление субсидии из областного бюджета в бюджет муниципального образования Ивановской области осуществляется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«Средства местных бюджетов».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12. Муниципальные учреждения культуры Ивановской области расходуют полученные средства строго по целевому назначению.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9"/>
      <w:bookmarkEnd w:id="2"/>
      <w:r w:rsidRPr="0071522C">
        <w:rPr>
          <w:rFonts w:ascii="Times New Roman" w:hAnsi="Times New Roman" w:cs="Times New Roman"/>
          <w:sz w:val="28"/>
          <w:szCs w:val="28"/>
        </w:rPr>
        <w:t xml:space="preserve">14.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части достижения результатов использования субсидии,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7">
        <w:r w:rsidRPr="0071522C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>
        <w:r w:rsidRPr="0071522C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3" w:name="P121"/>
      <w:bookmarkEnd w:id="3"/>
      <w:r w:rsidRPr="0071522C">
        <w:rPr>
          <w:rFonts w:ascii="Times New Roman" w:hAnsi="Times New Roman" w:cs="Times New Roman"/>
          <w:sz w:val="28"/>
          <w:szCs w:val="28"/>
        </w:rPr>
        <w:t xml:space="preserve">15. Основанием для освобождения муниципальных образований Ивановской области от применения мер ответственности, предусмотренных </w:t>
      </w:r>
      <w:hyperlink w:anchor="P119">
        <w:r w:rsidRPr="0071522C">
          <w:rPr>
            <w:rFonts w:ascii="Times New Roman" w:hAnsi="Times New Roman" w:cs="Times New Roman"/>
            <w:sz w:val="28"/>
            <w:szCs w:val="28"/>
          </w:rPr>
          <w:t>пунктом 14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w:anchor="P121">
        <w:r w:rsidRPr="0071522C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</w:t>
      </w:r>
      <w:r w:rsidRPr="0071522C">
        <w:rPr>
          <w:rFonts w:ascii="Times New Roman" w:hAnsi="Times New Roman" w:cs="Times New Roman"/>
          <w:sz w:val="28"/>
          <w:szCs w:val="28"/>
        </w:rPr>
        <w:lastRenderedPageBreak/>
        <w:t>Департаменту высшим должностным лицом муниципального образования Ивановской области (руководителем исполнительно-распорядительного органа муниципального образования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Ивановской области от применения мер ответственности, предусмотренных </w:t>
      </w:r>
      <w:hyperlink r:id="rId9">
        <w:r w:rsidRPr="0071522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71522C">
        <w:rPr>
          <w:rFonts w:ascii="Times New Roman" w:hAnsi="Times New Roman" w:cs="Times New Roman"/>
          <w:sz w:val="28"/>
          <w:szCs w:val="28"/>
        </w:rPr>
        <w:t xml:space="preserve"> Правил, с приложением заключения.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16. 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17. Ответственность за достоверность предоставляемой информации возлагается на органы местного самоуправления муниципальных образований Ивановской области.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18.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 Российской Федерации.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t>19. Контроль за соблюдением муниципальными образованиями Ивановской области условий, целей и порядка предоставления субсидий осуществляется Департаментом культуры и туризма Ивановской области и органами государственного финансового контроля Ивановской области.</w:t>
      </w:r>
    </w:p>
    <w:p w:rsidR="0071522C" w:rsidRPr="0071522C" w:rsidRDefault="0071522C" w:rsidP="0071522C">
      <w:pPr>
        <w:pStyle w:val="ConsPlusNormal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71522C">
        <w:rPr>
          <w:rFonts w:ascii="Times New Roman" w:hAnsi="Times New Roman" w:cs="Times New Roman"/>
          <w:sz w:val="28"/>
          <w:szCs w:val="28"/>
        </w:rPr>
        <w:br/>
      </w:r>
    </w:p>
    <w:p w:rsidR="00416B2E" w:rsidRPr="0071522C" w:rsidRDefault="00416B2E" w:rsidP="0071522C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416B2E" w:rsidRPr="0071522C" w:rsidSect="00B03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22C"/>
    <w:rsid w:val="00416B2E"/>
    <w:rsid w:val="0071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DB363-3B9F-4FA9-96A0-A6AD8CC1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15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6591F7FAEB2273A27B1A7418C622276E7A0A61EC3D347722795F3E982E9A1DEB4C3BD78D3AF3080B5739A25754AC776B19AF4BF604D181BCAE134vFf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A6591F7FAEB2273A27B1A7418C622276E7A0A61EC3D347722795F3E982E9A1DEB4C3BD78D3AF3080B5739A20754AC776B19AF4BF604D181BCAE134vFf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A6591F7FAEB2273A27B1A7418C622276E7A0A61EC3D347722795F3E982E9A1DEB4C3BD78D3AF3080B5739C22754AC776B19AF4BF604D181BCAE134vFf9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3A6591F7FAEB2273A27B1A7418C622276E7A0A61EC3D347722795F3E982E9A1DEB4C3BD78D3AF3080B5739A20754AC776B19AF4BF604D181BCAE134vFf9G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43A6591F7FAEB2273A27AFAA57E03E2D76E9FAA91AC3DD112C7093A4B6D2EFF48CF49DE43B92BC3080AB739E20v7fDG" TargetMode="External"/><Relationship Id="rId9" Type="http://schemas.openxmlformats.org/officeDocument/2006/relationships/hyperlink" Target="consultantplus://offline/ref=43A6591F7FAEB2273A27B1A7418C622276E7A0A61EC3D347722795F3E982E9A1DEB4C3BD78D3AF3080B5739A20754AC776B19AF4BF604D181BCAE134vFf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Екатерина Михайловна</dc:creator>
  <cp:keywords/>
  <dc:description/>
  <cp:lastModifiedBy>Медведева Екатерина Михайловна</cp:lastModifiedBy>
  <cp:revision>1</cp:revision>
  <dcterms:created xsi:type="dcterms:W3CDTF">2023-10-05T06:31:00Z</dcterms:created>
  <dcterms:modified xsi:type="dcterms:W3CDTF">2023-10-05T06:42:00Z</dcterms:modified>
</cp:coreProperties>
</file>